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900000" cy="922881"/>
            <wp:docPr id="1" name="Picture 1"/>
            <wp:cNvGraphicFramePr>
              <a:graphicFrameLocks noChangeAspect="1"/>
            </wp:cNvGraphicFramePr>
            <a:graphic>
              <a:graphicData uri="http://schemas.openxmlformats.org/drawingml/2006/picture">
                <pic:pic>
                  <pic:nvPicPr>
                    <pic:cNvPr id="0" name="download.jpeg"/>
                    <pic:cNvPicPr/>
                  </pic:nvPicPr>
                  <pic:blipFill>
                    <a:blip r:embed="rId11"/>
                    <a:stretch>
                      <a:fillRect/>
                    </a:stretch>
                  </pic:blipFill>
                  <pic:spPr>
                    <a:xfrm>
                      <a:off x="0" y="0"/>
                      <a:ext cx="900000" cy="922881"/>
                    </a:xfrm>
                    <a:prstGeom prst="rect"/>
                  </pic:spPr>
                </pic:pic>
              </a:graphicData>
            </a:graphic>
          </wp:inline>
        </w:drawing>
      </w:r>
      <w:r>
        <w:rPr>
          <w:b/>
          <w:color w:val="03152D"/>
          <w:sz w:val="40"/>
        </w:rPr>
        <w:t xml:space="preserve">   DIGIRECON</w:t>
      </w:r>
    </w:p>
    <w:p>
      <w:pPr>
        <w:pStyle w:val="Title"/>
      </w:pPr>
      <w:r>
        <w:t>Digirecon Business Profile</w:t>
      </w:r>
    </w:p>
    <w:p>
      <w:pPr>
        <w:pStyle w:val="Subtitle"/>
      </w:pPr>
      <w:r>
        <w:t>E commerce receivables reconciliation and finance support</w:t>
      </w:r>
    </w:p>
    <w:p>
      <w:r>
        <w:rPr>
          <w:b w:val="0"/>
        </w:rPr>
        <w:t>Digirecon helps marketplace and direct-to-consumer sellers understand their receivables, explain settlement differences and organise follow-up. We connect transaction records with channel settlements, bank receipts and accounting data to give finance teams a traceable view of what is due, received and unresolved.</w:t>
      </w:r>
    </w:p>
    <w:p>
      <w:pPr>
        <w:pStyle w:val="Heading2"/>
      </w:pPr>
      <w:r>
        <w:t>Who we support</w:t>
      </w:r>
    </w:p>
    <w:p>
      <w:r>
        <w:rPr>
          <w:b w:val="0"/>
        </w:rPr>
        <w:t>We work with e-commerce sellers, brands and finance teams managing marketplaces, D2C websites, payment gateways and applicable courier COD flows. Our core focus is transaction-level reconciliation and practical reporting that identifies the value, owner and next action for each material exception.</w:t>
      </w:r>
    </w:p>
    <w:p>
      <w:pPr>
        <w:pStyle w:val="Heading2"/>
      </w:pPr>
      <w:r>
        <w:t>Founder and professional expertise</w:t>
      </w:r>
    </w:p>
    <w:p>
      <w:r>
        <w:rPr>
          <w:b w:val="0"/>
        </w:rPr>
        <w:t>Rahul Sharma leads Digirecon, bringing 15 years of retail industry business finance expertise and more than 5 years of hands-on marketplace reconciliation experience. His background combines finance operations with SAP and e-commerce settlement processes, supporting a practical understanding of accounting records, commercial deductions and receivables controls.</w:t>
      </w:r>
    </w:p>
    <w:p>
      <w:pPr>
        <w:pStyle w:val="ListBullet"/>
        <w:spacing w:after="40"/>
      </w:pPr>
      <w:r>
        <w:t>Masters in Business Administration (MBA) in Finance</w:t>
      </w:r>
    </w:p>
    <w:p>
      <w:pPr>
        <w:pStyle w:val="Heading2"/>
      </w:pPr>
      <w:r>
        <w:t>How this experience supports clients</w:t>
      </w:r>
    </w:p>
    <w:p>
      <w:r>
        <w:rPr>
          <w:b w:val="0"/>
        </w:rPr>
        <w:t>Retail business finance experience helps connect seller activity with ledger balances and management reporting. Hands-on marketplace reconciliation supports investigation of fees, refunds, timing differences and short settlements. SAP experience informs the mapping of accounting exports and source references, while material exceptions are reviewed before they are reported.</w:t>
      </w:r>
    </w:p>
    <w:p>
      <w:r>
        <w:rPr>
          <w:b w:val="0"/>
        </w:rPr>
        <w:t>Rahul Sharma is the primary engagement contact. Preparation, review and any additional delivery support are agreed for each assignment, with clear responsibilities for the client finance team.</w:t>
      </w:r>
    </w:p>
    <w:p>
      <w:r>
        <w:br w:type="page"/>
      </w:r>
    </w:p>
    <w:p>
      <w:pPr>
        <w:pStyle w:val="Heading1"/>
      </w:pPr>
      <w:r>
        <w:t>Core services</w:t>
      </w:r>
    </w:p>
    <w:p>
      <w:pPr>
        <w:pStyle w:val="Heading2"/>
      </w:pPr>
      <w:r>
        <w:t>Marketplace and D2C receivables reconciliation</w:t>
      </w:r>
    </w:p>
    <w:p>
      <w:r>
        <w:rPr>
          <w:b w:val="0"/>
        </w:rPr>
        <w:t>Match orders, invoices, returns and cancellations to marketplace settlements, gateway receipts, bank credits and books. Prepare opening-to-closing receivables schedules and classify timing differences, missing records and unmatched balances. Handle partial or aggregated settlements through documented allocation rules.</w:t>
      </w:r>
    </w:p>
    <w:p>
      <w:pPr>
        <w:pStyle w:val="Heading2"/>
      </w:pPr>
      <w:r>
        <w:t>Deductions and refund review</w:t>
      </w:r>
    </w:p>
    <w:p>
      <w:r>
        <w:rPr>
          <w:b w:val="0"/>
        </w:rPr>
        <w:t>Review commissions, logistics and fulfilment charges, discounts, penalties, reserves, refunds and other adjustments against available statements and agreed terms. Flag duplicate, unsupported or unusual amounts and prepare evidence for client validation and follow-up.</w:t>
      </w:r>
    </w:p>
    <w:p>
      <w:pPr>
        <w:pStyle w:val="Heading2"/>
      </w:pPr>
      <w:r>
        <w:t>Payment gateway and COD reconciliation</w:t>
      </w:r>
    </w:p>
    <w:p>
      <w:r>
        <w:rPr>
          <w:b w:val="0"/>
        </w:rPr>
        <w:t>Link D2C orders with gateway captures, refunds, chargebacks and payout batches. Reconcile courier COD remittances where applicable, using available transaction references and bank evidence. Disclose missing identifiers and data gaps rather than force a match.</w:t>
      </w:r>
    </w:p>
    <w:p>
      <w:pPr>
        <w:pStyle w:val="Heading2"/>
      </w:pPr>
      <w:r>
        <w:t>TDS and TCS reconciliation support</w:t>
      </w:r>
    </w:p>
    <w:p>
      <w:r>
        <w:rPr>
          <w:b w:val="0"/>
        </w:rPr>
        <w:t>Compare available marketplace statements, accounting records and relevant client-provided tax records. Track TDS and TCS separately, prepare period-wise schedules and highlight differences for review by the client and its authorised tax professional.</w:t>
      </w:r>
    </w:p>
    <w:p>
      <w:pPr>
        <w:pStyle w:val="Heading2"/>
      </w:pPr>
      <w:r>
        <w:t>Order to UTR audit support</w:t>
      </w:r>
    </w:p>
    <w:p>
      <w:r>
        <w:rPr>
          <w:b w:val="0"/>
        </w:rPr>
        <w:t>Prepare schedules connecting order ID, invoice, settlement batch, payment date, amount and bank payment reference or UTR. For combined payouts, preserve the order-to-settlement allocation and settlement-to-bank link. Audit support depends on the references available in source data and the agreed sample requirements.</w:t>
      </w:r>
    </w:p>
    <w:p>
      <w:pPr>
        <w:pStyle w:val="Heading2"/>
      </w:pPr>
      <w:r>
        <w:t>Actionable exception reporting</w:t>
      </w:r>
    </w:p>
    <w:p>
      <w:r>
        <w:rPr>
          <w:b w:val="0"/>
        </w:rPr>
        <w:t>Maintain a register showing the issue, evidence reference, exception value, ageing basis, priority, responsible owner, next action, target date and status. Track closure evidence and distinguish potential claims from amounts still requiring investigation.</w:t>
      </w:r>
    </w:p>
    <w:p>
      <w:pPr>
        <w:pStyle w:val="Heading2"/>
      </w:pPr>
      <w:r>
        <w:t>Optional management analytics</w:t>
      </w:r>
    </w:p>
    <w:p>
      <w:r>
        <w:rPr>
          <w:b w:val="0"/>
        </w:rPr>
        <w:t>Separately scoped reporting can cover channel or SKU profitability, fee trends, like-for-like growth, inventory ageing, returns and cash-flow visibility. These views require suitable cost and operational inputs, reliable mappings and agreed metric definitions.</w:t>
      </w:r>
    </w:p>
    <w:p>
      <w:r>
        <w:br w:type="page"/>
      </w:r>
    </w:p>
    <w:p>
      <w:pPr>
        <w:pStyle w:val="Heading1"/>
      </w:pPr>
      <w:r>
        <w:t>Delivery approach and client engagement</w:t>
      </w:r>
    </w:p>
    <w:p>
      <w:pPr>
        <w:pStyle w:val="Heading2"/>
      </w:pPr>
      <w:r>
        <w:t>How we work</w:t>
      </w:r>
    </w:p>
    <w:p>
      <w:r>
        <w:rPr>
          <w:b/>
        </w:rPr>
        <w:t xml:space="preserve">Understand and scope. </w:t>
      </w:r>
      <w:r>
        <w:t>Confirm entities, channels, periods, volumes, backlog, current challenges and reporting priorities. Agree responsibilities, deliverables and the engagement terms.</w:t>
      </w:r>
    </w:p>
    <w:p>
      <w:r>
        <w:rPr>
          <w:b/>
        </w:rPr>
        <w:t xml:space="preserve">Collect and validate. </w:t>
      </w:r>
      <w:r>
        <w:t>Receive authorised order, return, settlement, fee, bank, ledger and relevant tax records. Check period coverage, record counts, duplicates and control totals; log missing inputs.</w:t>
      </w:r>
    </w:p>
    <w:p>
      <w:r>
        <w:rPr>
          <w:b/>
        </w:rPr>
        <w:t xml:space="preserve">Map and reconcile. </w:t>
      </w:r>
      <w:r>
        <w:t>Agree matching keys, tolerances, allocation rules, cut-off dates and ageing definitions. Match records and investigate material differences against source evidence.</w:t>
      </w:r>
    </w:p>
    <w:p>
      <w:r>
        <w:rPr>
          <w:b/>
        </w:rPr>
        <w:t xml:space="preserve">Report and follow through. </w:t>
      </w:r>
      <w:r>
        <w:t>Deliver reconciliation schedules and an action register at the agreed cadence. Review findings with client owners, validate resolution evidence and carry forward unresolved items.</w:t>
      </w:r>
    </w:p>
    <w:p>
      <w:pPr>
        <w:pStyle w:val="Heading2"/>
      </w:pPr>
      <w:r>
        <w:t>What clients receive</w:t>
      </w:r>
    </w:p>
    <w:p>
      <w:r>
        <w:rPr>
          <w:b w:val="0"/>
        </w:rPr>
        <w:t>The agreed reporting pack can include a receivables bridge, settlement-to-bank matching, deduction and refund exceptions, TDS/TCS support, order-to-UTR schedules and an ageing-based action register. These outputs support clearer balances, focused follow-up and more organised audit-sample preparation.</w:t>
      </w:r>
    </w:p>
    <w:p>
      <w:pPr>
        <w:pStyle w:val="Heading2"/>
      </w:pPr>
      <w:r>
        <w:t>Data handling and professional boundaries</w:t>
      </w:r>
    </w:p>
    <w:p>
      <w:r>
        <w:rPr>
          <w:b w:val="0"/>
        </w:rPr>
        <w:t>We use authorised data for the agreed engagement, restrict access to assigned personnel and agree secure transfer, storage, confidentiality, retention and deletion arrangements. Third-party processing requires client approval. The client provides complete records and approves accounting entries and external submissions.</w:t>
      </w:r>
    </w:p>
    <w:p>
      <w:r>
        <w:rPr>
          <w:b w:val="0"/>
        </w:rPr>
        <w:t>Digirecon provides reconciliation and supporting schedules. Tax filings, formal tax or audit opinions and final claim decisions remain with the client and its authorised professionals or the relevant counterparty. Recoveries, matching rates and tax outcomes are not guaranteed.</w:t>
      </w:r>
    </w:p>
    <w:p>
      <w:pPr>
        <w:pStyle w:val="Heading2"/>
      </w:pPr>
      <w:r>
        <w:t>Starting an engagement</w:t>
      </w:r>
    </w:p>
    <w:p>
      <w:r>
        <w:rPr>
          <w:b w:val="0"/>
        </w:rPr>
        <w:t>A discovery discussion and sample-data assessment establish the scope. A pilot may be agreed to assess source completeness, matching quality and report usefulness. The written scope then confirms fees, reporting frequency, turnaround after complete data, review responsibilities and escalation arrangements. Engagements may be project-based, recurring or a combination.</w:t>
      </w:r>
    </w:p>
    <w:p>
      <w:pPr>
        <w:pStyle w:val="Heading2"/>
      </w:pPr>
      <w:r>
        <w:t>Contact Digirecon</w:t>
      </w:r>
    </w:p>
    <w:p>
      <w:r>
        <w:rPr>
          <w:b/>
        </w:rPr>
        <w:t>Rahul Sharma | Manager</w:t>
      </w:r>
    </w:p>
    <w:p>
      <w:pPr>
        <w:spacing w:after="0"/>
      </w:pPr>
      <w:r>
        <w:rPr>
          <w:b w:val="0"/>
        </w:rPr>
        <w:t>Phone  9311112911</w:t>
        <w:br/>
        <w:t>Email  Infodigirecon@gmail.com</w:t>
        <w:br/>
        <w:t>Address  C-24 Siddarth Vihar Ghaziabad 201009 UP</w:t>
      </w:r>
    </w:p>
    <w:sectPr w:rsidR="00FC693F" w:rsidRPr="0006063C" w:rsidSect="00034616">
      <w:headerReference w:type="default" r:id="rId9"/>
      <w:footerReference w:type="default" r:id="rId10"/>
      <w:pgSz w:w="11906" w:h="16838"/>
      <w:pgMar w:top="1020" w:right="1191" w:bottom="1020" w:left="1191"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26A7C"/>
        <w:sz w:val="16"/>
      </w:rPr>
      <w:t xml:space="preserve">DIGIRECON  |  BUSINESS PROFILE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6"/>
        <w:shd w:fill="0085E8"/>
      </w:rPr>
      <w:t xml:space="preserve">                </w:t>
    </w:r>
    <w:r>
      <w:rPr>
        <w:sz w:val="6"/>
        <w:shd w:fill="00D9E6"/>
      </w:rPr>
      <w:t xml:space="preserve">        </w:t>
    </w:r>
    <w:r>
      <w:rPr>
        <w:sz w:val="6"/>
        <w:shd w:fill="66E933"/>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60"/>
      <w:contextualSpacing/>
    </w:pPr>
    <w:rPr>
      <w:rFonts w:asciiTheme="majorHAnsi" w:eastAsiaTheme="majorEastAsia" w:hAnsiTheme="majorHAnsi" w:cstheme="majorBidi" w:ascii="Calibri" w:hAnsi="Calibri"/>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Digirecon Business Profile</dc:title>
  <dc:subject>E commerce reconciliation and retail business finance expertise</dc:subject>
  <dc:creator>Digirecon</dc:creator>
  <cp:keywords/>
  <dc:description>generated by python-docx</dc:description>
  <cp:lastModifiedBy/>
  <cp:revision>1</cp:revision>
  <dcterms:created xsi:type="dcterms:W3CDTF">2013-12-23T23:15:00Z</dcterms:created>
  <dcterms:modified xsi:type="dcterms:W3CDTF">2013-12-23T23:15:00Z</dcterms:modified>
  <cp:category/>
</cp:coreProperties>
</file>